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151-НҚ от 29.04.2021</w:t>
      </w:r>
    </w:p>
    <w:p w:rsidR="007A7ABC" w:rsidRPr="001001C3" w:rsidRDefault="007A7ABC" w:rsidP="007A7ABC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001C3"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 </w:t>
      </w:r>
      <w:r w:rsidR="00FB5BBE" w:rsidRPr="001001C3">
        <w:rPr>
          <w:rFonts w:ascii="Times New Roman" w:hAnsi="Times New Roman" w:cs="Times New Roman"/>
          <w:sz w:val="24"/>
          <w:szCs w:val="24"/>
          <w:lang w:val="kk-KZ"/>
        </w:rPr>
        <w:t xml:space="preserve">Сауда және интеграция </w:t>
      </w:r>
      <w:r w:rsidR="00007C15" w:rsidRPr="001001C3">
        <w:rPr>
          <w:rFonts w:ascii="Times New Roman" w:hAnsi="Times New Roman" w:cs="Times New Roman"/>
          <w:sz w:val="24"/>
          <w:szCs w:val="24"/>
          <w:lang w:val="kk-KZ"/>
        </w:rPr>
        <w:t>министрлігінің Техникалық реттеу және метрология комитеті төрағасының 20</w:t>
      </w:r>
      <w:r w:rsidR="00044CDA" w:rsidRPr="001001C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B063A" w:rsidRPr="001001C3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1001C3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Pr="001001C3">
        <w:rPr>
          <w:rFonts w:ascii="Times New Roman" w:hAnsi="Times New Roman" w:cs="Times New Roman"/>
          <w:sz w:val="24"/>
          <w:szCs w:val="24"/>
        </w:rPr>
        <w:t>«__»______</w:t>
      </w:r>
      <w:r w:rsidR="00044CDA" w:rsidRPr="001001C3">
        <w:rPr>
          <w:rFonts w:ascii="Times New Roman" w:hAnsi="Times New Roman" w:cs="Times New Roman"/>
          <w:sz w:val="24"/>
          <w:szCs w:val="24"/>
        </w:rPr>
        <w:t>_________</w:t>
      </w:r>
    </w:p>
    <w:p w:rsidR="007A7ABC" w:rsidRPr="001001C3" w:rsidRDefault="007A7ABC" w:rsidP="007A7ABC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001C3">
        <w:rPr>
          <w:rFonts w:ascii="Times New Roman" w:hAnsi="Times New Roman" w:cs="Times New Roman"/>
          <w:sz w:val="24"/>
          <w:szCs w:val="24"/>
          <w:lang w:val="kk-KZ"/>
        </w:rPr>
        <w:t xml:space="preserve">№____бұйрығына қосымша </w:t>
      </w:r>
    </w:p>
    <w:p w:rsidR="005B063A" w:rsidRPr="001001C3" w:rsidRDefault="005B063A" w:rsidP="005B063A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6E6C73" w:rsidRPr="001001C3" w:rsidRDefault="006E6C73" w:rsidP="00730C6B">
      <w:pPr>
        <w:pStyle w:val="Default"/>
        <w:jc w:val="center"/>
        <w:rPr>
          <w:b/>
          <w:bCs/>
          <w:color w:val="auto"/>
        </w:rPr>
      </w:pPr>
      <w:r w:rsidRPr="001001C3">
        <w:rPr>
          <w:b/>
          <w:bCs/>
          <w:color w:val="auto"/>
        </w:rPr>
        <w:t>Кеден одағы шеңберінде сәйкестікті міндетті бағалауға (растауға) жататын өнімдердің бірыңғай тізімінде көзделген Беларусь Республикасы мен Ресей Федерациясының ұлттық стандарттары</w:t>
      </w:r>
    </w:p>
    <w:p w:rsidR="00730C6B" w:rsidRPr="001001C3" w:rsidRDefault="00730C6B" w:rsidP="00730C6B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5541"/>
      </w:tblGrid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E6C73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Өнімнің атауы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E6C73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Сәйкестікті растау жүзеге асырылатын стандарттарды белгілеу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9843CC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ЖАРЫҚ ТЕХНИКАСЫ БҰЙЫМДАРЫ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9843CC" w:rsidP="003F483A">
            <w:pPr>
              <w:jc w:val="center"/>
              <w:rPr>
                <w:b/>
              </w:rPr>
            </w:pPr>
            <w:r w:rsidRPr="001001C3">
              <w:rPr>
                <w:b/>
              </w:rPr>
              <w:t>Аккумуляторлар және аккумулятор батареялары</w:t>
            </w:r>
          </w:p>
          <w:p w:rsidR="00730C6B" w:rsidRPr="001001C3" w:rsidRDefault="00730C6B" w:rsidP="003F483A">
            <w:pPr>
              <w:jc w:val="center"/>
              <w:rPr>
                <w:b/>
              </w:rPr>
            </w:pPr>
            <w:r w:rsidRPr="001001C3">
              <w:rPr>
                <w:b/>
              </w:rPr>
              <w:t>(</w:t>
            </w:r>
            <w:r w:rsidR="009843CC" w:rsidRPr="001001C3">
              <w:rPr>
                <w:b/>
              </w:rPr>
              <w:t>доңғалақты көлік құралдары үшін пайдаланылатындардан басқа</w:t>
            </w:r>
            <w:r w:rsidRPr="001001C3">
              <w:rPr>
                <w:b/>
              </w:rPr>
              <w:t>)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D37A4" w:rsidP="003F483A">
            <w:pPr>
              <w:ind w:left="20"/>
              <w:jc w:val="both"/>
            </w:pPr>
            <w:r w:rsidRPr="001001C3">
              <w:t>аккумуляторлар және қышқылды аккумуляторлар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МЭК 896-1-95 «</w:t>
            </w:r>
            <w:r w:rsidR="002825EB" w:rsidRPr="001001C3">
              <w:t>Қорғасын-қышқылды стационарлы батареялар</w:t>
            </w:r>
            <w:r w:rsidRPr="001001C3">
              <w:t xml:space="preserve">. </w:t>
            </w:r>
            <w:r w:rsidR="002825EB" w:rsidRPr="001001C3">
              <w:t>Жалпы талаптар және сынау әдістері. 1 бөлім. Ашық түрлері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2825EB">
            <w:pPr>
              <w:ind w:left="20"/>
              <w:jc w:val="both"/>
            </w:pPr>
            <w:r w:rsidRPr="001001C3">
              <w:t>ГОСТ Р 52846-2007 (МЭК 60254-1:2005) «</w:t>
            </w:r>
            <w:r w:rsidR="002825EB" w:rsidRPr="001001C3">
              <w:t>Қорғасын тартқыш аккумуляторлы батареялар</w:t>
            </w:r>
            <w:r w:rsidRPr="001001C3">
              <w:t xml:space="preserve">. </w:t>
            </w:r>
            <w:r w:rsidR="002825EB" w:rsidRPr="001001C3">
              <w:t>1 бөлім. Негізгі талаптар және сынау әдістері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D37A4" w:rsidP="003F483A">
            <w:pPr>
              <w:ind w:left="20"/>
              <w:jc w:val="both"/>
            </w:pPr>
            <w:r w:rsidRPr="001001C3">
              <w:t>сілтілі аккумуляторлар мен аккумуляторлық батареялар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52083-2003 «</w:t>
            </w:r>
            <w:r w:rsidR="002825EB" w:rsidRPr="001001C3">
              <w:t>Никель аккумуляторлары-ашық призмалық темір</w:t>
            </w:r>
            <w:r w:rsidRPr="001001C3">
              <w:t xml:space="preserve">. </w:t>
            </w:r>
            <w:r w:rsidR="002825EB" w:rsidRPr="001001C3">
              <w:t>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МЭК 60285-2002 «</w:t>
            </w:r>
            <w:r w:rsidR="002825EB" w:rsidRPr="001001C3">
              <w:t>Батареялар мен сілтілі батареялар</w:t>
            </w:r>
            <w:r w:rsidRPr="001001C3">
              <w:t xml:space="preserve">. </w:t>
            </w:r>
            <w:r w:rsidR="002825EB" w:rsidRPr="001001C3">
              <w:t>Никель-кадмий герметикалық цилиндрлік аккумуляторлар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МЭК 60509-2002 «</w:t>
            </w:r>
            <w:r w:rsidR="002825EB" w:rsidRPr="001001C3">
              <w:t>Батареялар мен сілтілі батареялар</w:t>
            </w:r>
            <w:r w:rsidRPr="001001C3">
              <w:t xml:space="preserve">. </w:t>
            </w:r>
            <w:r w:rsidR="002825EB" w:rsidRPr="001001C3">
              <w:t>Никель-кадмий герметикалық дискілі аккумуляторлар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МЭК 60622-2002 «</w:t>
            </w:r>
            <w:r w:rsidR="002825EB" w:rsidRPr="001001C3">
              <w:t>Батареялар мен сілтілі батареялар</w:t>
            </w:r>
            <w:r w:rsidRPr="001001C3">
              <w:t xml:space="preserve">. </w:t>
            </w:r>
            <w:r w:rsidR="002825EB" w:rsidRPr="001001C3">
              <w:t>Никель-кадмий герметикалық призмалық аккумуляторлар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МЭК 60623-2008 «</w:t>
            </w:r>
            <w:r w:rsidR="002825EB" w:rsidRPr="001001C3">
              <w:t>Құрамында сілтілі және басқа да қышқыл емес электролиттері бар аккумуляторлар мен аккумулятор батареялары</w:t>
            </w:r>
            <w:r w:rsidRPr="001001C3">
              <w:t xml:space="preserve">. </w:t>
            </w:r>
            <w:r w:rsidR="002825EB" w:rsidRPr="001001C3">
              <w:t>Никель-кадмий ашық призмалық аккумуляторлар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МЭК 61436-2004 «</w:t>
            </w:r>
            <w:r w:rsidR="00F66C11" w:rsidRPr="001001C3">
              <w:t>Құрамында сілтілі және басқа да қышқыл емес электролиттері бар аккумуляторлар мен аккумулятор батареялары</w:t>
            </w:r>
            <w:r w:rsidRPr="001001C3">
              <w:t xml:space="preserve">. </w:t>
            </w:r>
            <w:r w:rsidR="00F66C11" w:rsidRPr="001001C3">
              <w:t>Никель-металл-гидридті герметикалық аккумуляторлар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МЭК 61951-2-2007 «</w:t>
            </w:r>
            <w:r w:rsidR="00F66C11" w:rsidRPr="001001C3">
              <w:t>Құрамында сілтілі және басқа да қышқыл емес электролиттері бар аккумуляторлар мен аккумулятор батареялары</w:t>
            </w:r>
            <w:r w:rsidRPr="001001C3">
              <w:t xml:space="preserve">. </w:t>
            </w:r>
            <w:r w:rsidR="00F66C11" w:rsidRPr="001001C3">
              <w:t>Портативті герметикалық батареялар. 2 бөлім. Никель-металл-гидрид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МЭК 61960-2007 «</w:t>
            </w:r>
            <w:r w:rsidR="00F66C11" w:rsidRPr="001001C3">
              <w:t xml:space="preserve">Құрамында сілтілі және </w:t>
            </w:r>
            <w:r w:rsidR="00F66C11" w:rsidRPr="001001C3">
              <w:lastRenderedPageBreak/>
              <w:t>басқа да қышқыл емес электролиттері бар аккумуляторлар мен аккумулятор батареялары</w:t>
            </w:r>
            <w:r w:rsidRPr="001001C3">
              <w:t xml:space="preserve">. </w:t>
            </w:r>
            <w:r w:rsidR="00F66C11" w:rsidRPr="001001C3">
              <w:t>Портативті қолдануға арналған литий аккумуляторлары мен аккумуляторлары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МЭК 62133-2004 «</w:t>
            </w:r>
            <w:r w:rsidR="00F66C11" w:rsidRPr="001001C3">
              <w:t>Құрамында сілтілі және басқа да қышқыл емес электролиттері бар аккумуляторлар мен аккумулятор батареялары</w:t>
            </w:r>
            <w:r w:rsidRPr="001001C3">
              <w:t xml:space="preserve">. </w:t>
            </w:r>
            <w:r w:rsidR="00F66C11" w:rsidRPr="001001C3">
              <w:t>Портативті герметикалық аккумуляторлар мен олардан жасалған батареяларға арналған қауіпсіздік талаптары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F66C11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ЖОЛ САЛАСЫНДА ҚОЛДАНЫЛАТЫН ӨНІМ</w:t>
            </w:r>
          </w:p>
          <w:p w:rsidR="00730C6B" w:rsidRPr="001001C3" w:rsidRDefault="00F66C11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Жол құрылысына арналған материалдар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F66C11" w:rsidP="003F483A">
            <w:pPr>
              <w:ind w:left="20"/>
              <w:jc w:val="both"/>
            </w:pPr>
            <w:r w:rsidRPr="001001C3">
              <w:t>тығыз тау жыныстарынан жасалған текше тәріздес қиыршық тас (жол құрылысы үшін)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СТБ 1311-2002 «</w:t>
            </w:r>
            <w:r w:rsidR="00F66C11" w:rsidRPr="001001C3">
              <w:t>Қиыршық тас кубовидный тығыз тау жыныстары.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260850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АУЫЛШАРУАШЫЛЫҚ ТЕХНИКА</w:t>
            </w:r>
          </w:p>
          <w:p w:rsidR="00730C6B" w:rsidRPr="001001C3" w:rsidRDefault="00260850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Ауылшаруашылық техника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260850" w:rsidP="003F483A">
            <w:pPr>
              <w:ind w:left="20"/>
              <w:jc w:val="both"/>
            </w:pPr>
            <w:r w:rsidRPr="001001C3">
              <w:t>шынжыр табанды тракторлар, дөңгелекті ауыл шаруашылығы, өздігінен жүретін шассилер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51920-2002 «</w:t>
            </w:r>
            <w:r w:rsidR="00260850" w:rsidRPr="001001C3">
              <w:t>Ауыл шаруашылығы және орман шаруашылығы тракторлары. Сыртқы шу. Бағалау нормалары мен әдістері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260850" w:rsidP="003F483A">
            <w:pPr>
              <w:ind w:left="20"/>
              <w:jc w:val="both"/>
            </w:pPr>
            <w:r w:rsidRPr="001001C3">
              <w:t>трактор тіркемелері мен жартылай тіркемелері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52746-2007 «</w:t>
            </w:r>
            <w:r w:rsidR="00260850" w:rsidRPr="001001C3">
              <w:t>Трактор тіркемелері мен жартылай тіркемелері. Жалпы техникалық талаптар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СТБ ЕН 1853-2006 «</w:t>
            </w:r>
            <w:r w:rsidR="00260850" w:rsidRPr="001001C3">
              <w:t>Ауылшаруашылық машиналары. Өзі аударғыш тіркемелер. Қауіпсіздік талаптары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E766B" w:rsidP="006E766B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Ыдыс-аяқ (ересектер</w:t>
            </w:r>
            <w:r w:rsidRPr="001001C3">
              <w:rPr>
                <w:b/>
                <w:lang w:val="kk-KZ"/>
              </w:rPr>
              <w:t>ге арналған</w:t>
            </w:r>
            <w:r w:rsidRPr="001001C3">
              <w:rPr>
                <w:b/>
              </w:rPr>
              <w:t>)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E766B" w:rsidP="003F483A">
            <w:pPr>
              <w:ind w:left="20"/>
              <w:jc w:val="both"/>
            </w:pPr>
            <w:r w:rsidRPr="001001C3">
              <w:t>шыныдан жасалған ыдыс (ыстыққа төзімді шыныдан және ситаллдардан жасалған ыдыстардан басқа)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51968-2002 «</w:t>
            </w:r>
            <w:r w:rsidR="006E766B" w:rsidRPr="001001C3">
              <w:t>Шыныдан жасалған ыдыстары бар тұрмыстық термостар.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0D5F68" w:rsidP="000D5F68">
            <w:pPr>
              <w:ind w:left="20"/>
              <w:jc w:val="both"/>
            </w:pPr>
            <w:r w:rsidRPr="001001C3">
              <w:t>қыш ыдыстар (</w:t>
            </w:r>
            <w:r w:rsidRPr="001001C3">
              <w:rPr>
                <w:lang w:val="kk-KZ"/>
              </w:rPr>
              <w:t>ф</w:t>
            </w:r>
            <w:r w:rsidRPr="001001C3">
              <w:t xml:space="preserve">арфор, жартылай </w:t>
            </w:r>
            <w:r w:rsidRPr="001001C3">
              <w:rPr>
                <w:lang w:val="kk-KZ"/>
              </w:rPr>
              <w:t>ф</w:t>
            </w:r>
            <w:r w:rsidRPr="001001C3">
              <w:t>арфор, фаянс, майолик)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  <w:rPr>
                <w:lang w:val="kk-KZ"/>
              </w:rPr>
            </w:pPr>
            <w:r w:rsidRPr="001001C3">
              <w:t>СТБ 841-2003 «</w:t>
            </w:r>
            <w:r w:rsidR="000D5F68" w:rsidRPr="001001C3">
              <w:t>Қыш бұйымдар. Жалпы техникалық шарттар</w:t>
            </w:r>
            <w:r w:rsidR="000D5F68"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0D5F68" w:rsidP="000D5F68">
            <w:pPr>
              <w:ind w:left="20"/>
              <w:jc w:val="both"/>
            </w:pPr>
            <w:r w:rsidRPr="001001C3">
              <w:rPr>
                <w:lang w:val="kk-KZ"/>
              </w:rPr>
              <w:t>т</w:t>
            </w:r>
            <w:r w:rsidRPr="001001C3">
              <w:t xml:space="preserve">үссіз ыстыққа төзімді шыныдан жасалған шаруашылық </w:t>
            </w:r>
            <w:r w:rsidRPr="001001C3">
              <w:rPr>
                <w:lang w:val="kk-KZ"/>
              </w:rPr>
              <w:t>ы</w:t>
            </w:r>
            <w:r w:rsidRPr="001001C3">
              <w:t>дыс және ситаллдардан жасалған шаруашылық ыдыс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51969-2002 «</w:t>
            </w:r>
            <w:r w:rsidR="000D5F68" w:rsidRPr="001001C3">
              <w:t>Арнайы тұрмыстық шыныдан жасалған шаруашылық ыдыс.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0D5F68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Ыдыс-аяқ (балалар</w:t>
            </w:r>
            <w:r w:rsidRPr="001001C3">
              <w:rPr>
                <w:b/>
                <w:lang w:val="kk-KZ"/>
              </w:rPr>
              <w:t xml:space="preserve">ға </w:t>
            </w:r>
            <w:r w:rsidRPr="001001C3">
              <w:rPr>
                <w:b/>
                <w:lang w:val="kk-KZ"/>
              </w:rPr>
              <w:t>арналған</w:t>
            </w:r>
            <w:r w:rsidRPr="001001C3">
              <w:rPr>
                <w:b/>
              </w:rPr>
              <w:t>)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684509">
            <w:pPr>
              <w:ind w:left="20"/>
              <w:jc w:val="both"/>
            </w:pPr>
            <w:r w:rsidRPr="001001C3">
              <w:t>қыш ыдыстар (</w:t>
            </w:r>
            <w:r w:rsidRPr="001001C3">
              <w:rPr>
                <w:lang w:val="kk-KZ"/>
              </w:rPr>
              <w:t>ф</w:t>
            </w:r>
            <w:r w:rsidRPr="001001C3">
              <w:t xml:space="preserve">арфор, жартылай </w:t>
            </w:r>
            <w:r w:rsidRPr="001001C3">
              <w:rPr>
                <w:lang w:val="kk-KZ"/>
              </w:rPr>
              <w:t>ф</w:t>
            </w:r>
            <w:r w:rsidRPr="001001C3">
              <w:t>арфор, фаянс, майолик)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СТБ 841-2003 «</w:t>
            </w:r>
            <w:r w:rsidR="00684509" w:rsidRPr="001001C3">
              <w:t>Қыш бұйымдар.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ЖАНУАРЛАРҒА, ҚҰСТАРҒА ЖӘНЕ БАЛЫҚТАРҒА АРНАЛҒАН АЗЫҚ</w:t>
            </w:r>
          </w:p>
          <w:p w:rsidR="00730C6B" w:rsidRPr="001001C3" w:rsidRDefault="00684509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Құрама жем, оның ішінде жылжымалы қондырғыларды пайдалана отырып өндірілетін жем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both"/>
            </w:pPr>
            <w:r w:rsidRPr="001001C3">
              <w:t>құс етіне арналған толық құрама жем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51899-2002 «</w:t>
            </w:r>
            <w:r w:rsidR="00684509" w:rsidRPr="001001C3">
              <w:t>Түйіршіктелген құрама жемдер. Жалпы техникалық шарттар</w:t>
            </w:r>
            <w:r w:rsidRPr="001001C3">
              <w:t>»</w:t>
            </w:r>
          </w:p>
        </w:tc>
      </w:tr>
      <w:tr w:rsidR="001001C3" w:rsidRPr="001001C3" w:rsidTr="00684509">
        <w:trPr>
          <w:trHeight w:val="92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both"/>
            </w:pPr>
            <w:r w:rsidRPr="001001C3">
              <w:t>шошқаларға арналған құрама жем-концентраттар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51550-2000 «</w:t>
            </w:r>
            <w:r w:rsidR="00684509" w:rsidRPr="001001C3">
              <w:t>Құрама жем-шошқаларға арналған концентраттар.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both"/>
            </w:pPr>
            <w:r w:rsidRPr="001001C3">
              <w:t>шошқаларға арналған толық рационды құрама жем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50257-92 «</w:t>
            </w:r>
            <w:r w:rsidR="00684509" w:rsidRPr="001001C3">
              <w:t>Шошқаларға арналған толық жем.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both"/>
            </w:pPr>
            <w:r w:rsidRPr="001001C3">
              <w:lastRenderedPageBreak/>
              <w:t>ауыл шаруашылығы жануарларына, құстарға және балықтарға арналған премикстер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51095-97 «</w:t>
            </w:r>
            <w:r w:rsidR="00684509" w:rsidRPr="001001C3">
              <w:t>Премикстер.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both"/>
            </w:pPr>
            <w:r w:rsidRPr="001001C3">
              <w:t>жылжымалы қондырғыларды пайдалана отырып жүргізілетін ауыл шаруашылығы жануарларына, құстарға, балықтарға арналған жемшөп (жемшөп қоспалары)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52812-2007 «</w:t>
            </w:r>
            <w:r w:rsidR="00684509" w:rsidRPr="001001C3">
              <w:t>Азықтық қоспалар.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684509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Құрамында белок бар азықтық қоспалар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CF3824" w:rsidP="003F483A">
            <w:pPr>
              <w:ind w:left="20"/>
              <w:jc w:val="both"/>
            </w:pPr>
            <w:r w:rsidRPr="001001C3">
              <w:t>ақуыз-витаминді және амидовитаминді қоспалар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ГОСТ Р 51551-2000 «</w:t>
            </w:r>
            <w:r w:rsidR="00CF3824" w:rsidRPr="001001C3">
              <w:t>Ақуыз-витамин-минералды және амидо-витамин-минералды концентраттар.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CF3824" w:rsidP="003F483A">
            <w:pPr>
              <w:ind w:left="20"/>
              <w:jc w:val="both"/>
            </w:pPr>
            <w:r w:rsidRPr="001001C3">
              <w:t>ақуыз-витаминді-минералды қоспалар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CF3824" w:rsidP="003F483A">
            <w:pPr>
              <w:ind w:left="20"/>
              <w:jc w:val="both"/>
            </w:pPr>
            <w:r w:rsidRPr="001001C3">
              <w:t>ГОСТ Р 51551-2000 «Ақуыз-витамин-минералды және амидо-витамин-минералды концентраттар. Техникалық шарттар»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*СТБ 1150-2007 «</w:t>
            </w:r>
            <w:r w:rsidR="00CF3824" w:rsidRPr="001001C3">
              <w:t>Ақуыз-витамин-минералды қоспалар.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CF3824" w:rsidP="003F483A">
            <w:pPr>
              <w:ind w:left="20"/>
              <w:jc w:val="both"/>
            </w:pPr>
            <w:r w:rsidRPr="001001C3">
              <w:t>майсыздандырылған құрғақ сүт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CF3824">
            <w:pPr>
              <w:ind w:left="20"/>
              <w:jc w:val="both"/>
            </w:pPr>
            <w:r w:rsidRPr="001001C3">
              <w:t>СТБ 1858-2009 «</w:t>
            </w:r>
            <w:r w:rsidR="00CF3824" w:rsidRPr="001001C3">
              <w:t xml:space="preserve">Құрғақ </w:t>
            </w:r>
            <w:r w:rsidR="00CF3824" w:rsidRPr="001001C3">
              <w:rPr>
                <w:lang w:val="kk-KZ"/>
              </w:rPr>
              <w:t>с</w:t>
            </w:r>
            <w:r w:rsidR="00CF3824" w:rsidRPr="001001C3">
              <w:t>үт</w:t>
            </w:r>
            <w:r w:rsidR="00CF3824" w:rsidRPr="001001C3">
              <w:t>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CF3824" w:rsidP="003F483A">
            <w:pPr>
              <w:ind w:left="20"/>
              <w:jc w:val="both"/>
            </w:pPr>
            <w:r w:rsidRPr="001001C3">
              <w:t>құрғақ сүт өнімі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53492-2009 «</w:t>
            </w:r>
            <w:r w:rsidR="00CF3824" w:rsidRPr="001001C3">
              <w:t>Сүт консервілері. Іріткісі.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3824" w:rsidRPr="001001C3" w:rsidRDefault="00CF3824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ЖУҒЫШ ҚҰРАЛДАР</w:t>
            </w:r>
          </w:p>
          <w:p w:rsidR="00730C6B" w:rsidRPr="001001C3" w:rsidRDefault="00CF3824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Кір жууға арналған синтетикалық жуу құралдары, сабын, ұнтақ тәрізді жуу құралдары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1001C3" w:rsidP="003F483A">
            <w:pPr>
              <w:ind w:left="20"/>
              <w:jc w:val="both"/>
            </w:pPr>
            <w:r w:rsidRPr="001001C3">
              <w:t>кір жууға арналған синтетикалық жуғыш құралдар: таблеткалар, гельдер, пасталар, сұйықтықтар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52488-2005 «</w:t>
            </w:r>
            <w:r w:rsidR="001001C3" w:rsidRPr="001001C3">
              <w:t>Кір жууға арналған құралдар.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*СТБ 1669-2006 «</w:t>
            </w:r>
            <w:r w:rsidR="001001C3" w:rsidRPr="001001C3">
              <w:t>Синтетикалық жуғыш құралдар.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1001C3" w:rsidP="003F483A">
            <w:pPr>
              <w:ind w:left="20"/>
              <w:jc w:val="both"/>
            </w:pPr>
            <w:r w:rsidRPr="001001C3">
              <w:t>әртүрлі маталардан жасалған бұйымдарды жууға арналған ұнтақ тәрізді жуу құралдары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*ГОСТ Р 52488-2005 «</w:t>
            </w:r>
            <w:r w:rsidR="001001C3" w:rsidRPr="001001C3">
              <w:t>Кір жууға арналған құралдар. Жалпы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1C3" w:rsidRPr="001001C3" w:rsidRDefault="001001C3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САНИТАРЛЫҚ-ТЕХНИКАЛЫҚ БҰЙЫМДАР</w:t>
            </w:r>
          </w:p>
          <w:p w:rsidR="00730C6B" w:rsidRPr="001001C3" w:rsidRDefault="001001C3" w:rsidP="003F483A">
            <w:pPr>
              <w:ind w:left="20"/>
              <w:jc w:val="center"/>
              <w:rPr>
                <w:b/>
              </w:rPr>
            </w:pPr>
            <w:r w:rsidRPr="001001C3">
              <w:rPr>
                <w:b/>
              </w:rPr>
              <w:t>Санитарлық-техникалық бұйымдар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1001C3" w:rsidP="003F483A">
            <w:pPr>
              <w:ind w:left="20"/>
              <w:jc w:val="both"/>
            </w:pPr>
            <w:r w:rsidRPr="001001C3">
              <w:t>композициялық материалдар негізіндегі ванналар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СТБ 1227-2000 «</w:t>
            </w:r>
            <w:r w:rsidR="001001C3" w:rsidRPr="001001C3">
              <w:t>Композициялық материалдар негізінде санитарлық-техникалық бұйымдар. Техникалық шарттар</w:t>
            </w:r>
            <w:r w:rsidRPr="001001C3">
              <w:t>»</w:t>
            </w:r>
          </w:p>
        </w:tc>
      </w:tr>
      <w:tr w:rsidR="001001C3" w:rsidRPr="001001C3" w:rsidTr="003F483A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1001C3" w:rsidP="001001C3">
            <w:pPr>
              <w:ind w:left="20"/>
              <w:jc w:val="both"/>
            </w:pPr>
            <w:r w:rsidRPr="001001C3">
              <w:t xml:space="preserve">ғимараттар мен құрылыстарды ауыз сумен жабдықтау жүйесіне </w:t>
            </w:r>
            <w:r w:rsidRPr="001001C3">
              <w:rPr>
                <w:lang w:val="kk-KZ"/>
              </w:rPr>
              <w:t>о</w:t>
            </w:r>
            <w:r w:rsidRPr="001001C3">
              <w:t>рнатылатын икемді су құбыры шлангілері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0C6B" w:rsidRPr="001001C3" w:rsidRDefault="00730C6B" w:rsidP="003F483A">
            <w:pPr>
              <w:ind w:left="20"/>
              <w:jc w:val="both"/>
            </w:pPr>
            <w:r w:rsidRPr="001001C3">
              <w:t>СТБ 1597-2006 «</w:t>
            </w:r>
            <w:r w:rsidR="001001C3" w:rsidRPr="001001C3">
              <w:t>Су құбыры шлангілері икемді. Жалпы техникалық талаптар және сынау әдістері</w:t>
            </w:r>
            <w:r w:rsidRPr="001001C3">
              <w:t>»</w:t>
            </w:r>
          </w:p>
        </w:tc>
      </w:tr>
    </w:tbl>
    <w:p w:rsidR="00730C6B" w:rsidRPr="00A86792" w:rsidRDefault="00730C6B" w:rsidP="00730C6B">
      <w:pPr>
        <w:ind w:firstLine="567"/>
        <w:jc w:val="both"/>
      </w:pPr>
      <w:r w:rsidRPr="00A86792">
        <w:t>*</w:t>
      </w:r>
      <w:r w:rsidR="002D1A10" w:rsidRPr="00A86792">
        <w:t>Ескертпе</w:t>
      </w:r>
      <w:r w:rsidRPr="00A86792">
        <w:t>:</w:t>
      </w:r>
    </w:p>
    <w:p w:rsidR="00730C6B" w:rsidRPr="00A86792" w:rsidRDefault="00730C6B" w:rsidP="00730C6B">
      <w:pPr>
        <w:ind w:firstLine="567"/>
        <w:jc w:val="both"/>
      </w:pPr>
      <w:r w:rsidRPr="00A86792">
        <w:t xml:space="preserve">1) ГОСТ Р МЭК 896-1-95 </w:t>
      </w:r>
      <w:r w:rsidR="002D1A10" w:rsidRPr="00A86792">
        <w:t>Ресей Федерациясының аумағында</w:t>
      </w:r>
      <w:r w:rsidR="002D1A10" w:rsidRPr="00A86792">
        <w:t xml:space="preserve"> </w:t>
      </w:r>
      <w:r w:rsidR="002D1A10" w:rsidRPr="00A86792">
        <w:br/>
      </w:r>
      <w:r w:rsidRPr="00A86792">
        <w:t>ГОСТ Р МЭК 60896-11-2015 «</w:t>
      </w:r>
      <w:r w:rsidR="002D1A10" w:rsidRPr="00A86792">
        <w:t>Қорғасын-қышқылды стационарлы батареялар. 11 бөлім. Ашық түрлері. Жалпы талаптар және сынау әдістері</w:t>
      </w:r>
      <w:r w:rsidRPr="00A86792">
        <w:t>»</w:t>
      </w:r>
      <w:r w:rsidR="002D1A10" w:rsidRPr="00A86792">
        <w:rPr>
          <w:lang w:val="kk-KZ"/>
        </w:rPr>
        <w:t xml:space="preserve"> </w:t>
      </w:r>
      <w:r w:rsidR="0047139A">
        <w:rPr>
          <w:lang w:val="kk-KZ"/>
        </w:rPr>
        <w:t xml:space="preserve">стандартына </w:t>
      </w:r>
      <w:r w:rsidR="002D1A10" w:rsidRPr="00A86792">
        <w:rPr>
          <w:lang w:val="kk-KZ"/>
        </w:rPr>
        <w:t>ауыстырылды</w:t>
      </w:r>
      <w:r w:rsidRPr="00A86792">
        <w:t>;</w:t>
      </w:r>
    </w:p>
    <w:p w:rsidR="00730C6B" w:rsidRPr="00A86792" w:rsidRDefault="00730C6B" w:rsidP="00730C6B">
      <w:pPr>
        <w:ind w:firstLine="567"/>
        <w:jc w:val="both"/>
      </w:pPr>
      <w:r w:rsidRPr="00A86792">
        <w:t xml:space="preserve">2) ГОСТ Р МЭК 60622-2002 </w:t>
      </w:r>
      <w:r w:rsidR="002D1A10" w:rsidRPr="00A86792">
        <w:t>Ресей Федерациясының аумағында</w:t>
      </w:r>
      <w:r w:rsidR="002D1A10" w:rsidRPr="00A86792">
        <w:t xml:space="preserve"> </w:t>
      </w:r>
      <w:r w:rsidR="002D1A10" w:rsidRPr="00A86792">
        <w:br/>
      </w:r>
      <w:r w:rsidRPr="00A86792">
        <w:t>ГОСТ Р МЭК 60622-2010 «</w:t>
      </w:r>
      <w:r w:rsidR="002D1A10" w:rsidRPr="00A86792">
        <w:t>Құрамында сілтілі және басқа да қышқыл емес электролиттер бар аккумуляторлар мен аккумулятор батареялары. Герметикалық никель-кадмий призмалық аккумуляторлар</w:t>
      </w:r>
      <w:r w:rsidRPr="00A86792">
        <w:t>»</w:t>
      </w:r>
      <w:r w:rsidR="002D1A10" w:rsidRPr="00A86792">
        <w:rPr>
          <w:lang w:val="kk-KZ"/>
        </w:rPr>
        <w:t xml:space="preserve"> </w:t>
      </w:r>
      <w:r w:rsidR="0047139A">
        <w:rPr>
          <w:lang w:val="kk-KZ"/>
        </w:rPr>
        <w:t xml:space="preserve">стандартына </w:t>
      </w:r>
      <w:r w:rsidR="002D1A10" w:rsidRPr="00A86792">
        <w:rPr>
          <w:lang w:val="kk-KZ"/>
        </w:rPr>
        <w:t>ауыстырылды</w:t>
      </w:r>
      <w:r w:rsidRPr="00A86792">
        <w:t>;</w:t>
      </w:r>
    </w:p>
    <w:p w:rsidR="00730C6B" w:rsidRPr="00A86792" w:rsidRDefault="00730C6B" w:rsidP="00730C6B">
      <w:pPr>
        <w:ind w:firstLine="567"/>
        <w:jc w:val="both"/>
      </w:pPr>
      <w:r w:rsidRPr="00A86792">
        <w:t xml:space="preserve">3) ГОСТ Р МЭК 60623-2008 </w:t>
      </w:r>
      <w:r w:rsidR="002D1A10" w:rsidRPr="00A86792">
        <w:t>Ресей Федерациясының аумағында</w:t>
      </w:r>
      <w:r w:rsidR="002D1A10" w:rsidRPr="00A86792">
        <w:t xml:space="preserve"> </w:t>
      </w:r>
      <w:r w:rsidR="002D1A10" w:rsidRPr="00A86792">
        <w:br/>
      </w:r>
      <w:r w:rsidRPr="00A86792">
        <w:t>ГОСТ Р МЭК 60623-2019 «</w:t>
      </w:r>
      <w:r w:rsidR="002D1A10" w:rsidRPr="00A86792">
        <w:t xml:space="preserve">Құрамында сілтілі немесе басқа қышқыл емес электролиттері бар </w:t>
      </w:r>
      <w:r w:rsidR="002D1A10" w:rsidRPr="00A86792">
        <w:lastRenderedPageBreak/>
        <w:t>аккумуляторлар мен аккумуляторлық батареялар. Никель-кадмий ашық призмалық аккумуляторлар</w:t>
      </w:r>
      <w:r w:rsidRPr="00A86792">
        <w:t>»</w:t>
      </w:r>
      <w:r w:rsidR="002D1A10" w:rsidRPr="00A86792">
        <w:rPr>
          <w:lang w:val="kk-KZ"/>
        </w:rPr>
        <w:t xml:space="preserve"> </w:t>
      </w:r>
      <w:r w:rsidR="0047139A">
        <w:rPr>
          <w:lang w:val="kk-KZ"/>
        </w:rPr>
        <w:t xml:space="preserve">стандартына </w:t>
      </w:r>
      <w:r w:rsidR="002D1A10" w:rsidRPr="00A86792">
        <w:rPr>
          <w:lang w:val="kk-KZ"/>
        </w:rPr>
        <w:t>ауыстырылды</w:t>
      </w:r>
      <w:r w:rsidRPr="00A86792">
        <w:t>;</w:t>
      </w:r>
    </w:p>
    <w:p w:rsidR="00730C6B" w:rsidRPr="00A86792" w:rsidRDefault="00730C6B" w:rsidP="00730C6B">
      <w:pPr>
        <w:ind w:firstLine="567"/>
        <w:jc w:val="both"/>
      </w:pPr>
      <w:r w:rsidRPr="00A86792">
        <w:t xml:space="preserve">4) ГОСТ Р МЭК 61951-2-2007 </w:t>
      </w:r>
      <w:r w:rsidR="002D1A10" w:rsidRPr="00A86792">
        <w:t>Ресей Федерациясының аумағында</w:t>
      </w:r>
      <w:r w:rsidR="002D1A10" w:rsidRPr="00A86792">
        <w:t xml:space="preserve"> </w:t>
      </w:r>
      <w:r w:rsidR="002D1A10" w:rsidRPr="00A86792">
        <w:br/>
      </w:r>
      <w:r w:rsidRPr="00A86792">
        <w:t>ГОСТ Р МЭК 61951-2-2019 «</w:t>
      </w:r>
      <w:r w:rsidR="002D1A10" w:rsidRPr="00A86792">
        <w:t>Құрамында сілтілі немесе басқа қышқыл емес электролиттері бар аккумуляторлар мен аккумуляторлық батареялар. Портативті қосымшаларға арналған герметикалық батареялар мен қайта зарядталатын батареялар. 2 бөлім. Никель-металгидрид</w:t>
      </w:r>
      <w:r w:rsidRPr="00A86792">
        <w:t>»</w:t>
      </w:r>
      <w:r w:rsidR="002D1A10" w:rsidRPr="00A86792">
        <w:rPr>
          <w:lang w:val="kk-KZ"/>
        </w:rPr>
        <w:t xml:space="preserve"> </w:t>
      </w:r>
      <w:r w:rsidR="0047139A">
        <w:rPr>
          <w:lang w:val="kk-KZ"/>
        </w:rPr>
        <w:t xml:space="preserve">стандартына </w:t>
      </w:r>
      <w:r w:rsidR="002D1A10" w:rsidRPr="00A86792">
        <w:rPr>
          <w:lang w:val="kk-KZ"/>
        </w:rPr>
        <w:t>ауыстырылды</w:t>
      </w:r>
      <w:r w:rsidRPr="00A86792">
        <w:t>;</w:t>
      </w:r>
    </w:p>
    <w:p w:rsidR="00730C6B" w:rsidRPr="00A86792" w:rsidRDefault="00730C6B" w:rsidP="00730C6B">
      <w:pPr>
        <w:ind w:firstLine="567"/>
        <w:jc w:val="both"/>
      </w:pPr>
      <w:r w:rsidRPr="00A86792">
        <w:t xml:space="preserve">5) ГОСТ Р МЭК 61960-2007 </w:t>
      </w:r>
      <w:r w:rsidR="002D1A10" w:rsidRPr="00A86792">
        <w:t>Ресей Федерациясының аумағында</w:t>
      </w:r>
      <w:r w:rsidR="002D1A10" w:rsidRPr="00A86792">
        <w:t xml:space="preserve"> </w:t>
      </w:r>
      <w:r w:rsidR="002D1A10" w:rsidRPr="00A86792">
        <w:br/>
      </w:r>
      <w:r w:rsidRPr="00A86792">
        <w:t>ГОСТ Р МЭК 61960-3-2019 «</w:t>
      </w:r>
      <w:r w:rsidR="002D1A10" w:rsidRPr="00A86792">
        <w:t>Құрамында сілтілі немесе басқа қышқыл емес электролиттері бар аккумуляторлар мен аккумуляторлық батареялар. Литий батареялары және портативті қосымшаларға арналған батареялар. 3 бөлім. Призмалық және цилиндрлік литий аккумуляторлары мен батареялары</w:t>
      </w:r>
      <w:r w:rsidRPr="00A86792">
        <w:t>»</w:t>
      </w:r>
      <w:r w:rsidR="002D1A10" w:rsidRPr="00A86792">
        <w:rPr>
          <w:lang w:val="kk-KZ"/>
        </w:rPr>
        <w:t xml:space="preserve"> </w:t>
      </w:r>
      <w:r w:rsidR="0047139A">
        <w:rPr>
          <w:lang w:val="kk-KZ"/>
        </w:rPr>
        <w:t xml:space="preserve">стандартына </w:t>
      </w:r>
      <w:r w:rsidR="002D1A10" w:rsidRPr="00A86792">
        <w:rPr>
          <w:lang w:val="kk-KZ"/>
        </w:rPr>
        <w:t>ауыстырылды</w:t>
      </w:r>
      <w:r w:rsidRPr="00A86792">
        <w:t>;</w:t>
      </w:r>
    </w:p>
    <w:p w:rsidR="00730C6B" w:rsidRPr="00A86792" w:rsidRDefault="00730C6B" w:rsidP="00730C6B">
      <w:pPr>
        <w:ind w:firstLine="567"/>
        <w:jc w:val="both"/>
      </w:pPr>
      <w:r w:rsidRPr="00A86792">
        <w:t xml:space="preserve">6) ГОСТ Р МЭК 62133-2004 </w:t>
      </w:r>
      <w:r w:rsidR="002D1A10" w:rsidRPr="00A86792">
        <w:t>Ресей Федерациясының аумағында</w:t>
      </w:r>
      <w:r w:rsidR="002D1A10" w:rsidRPr="00A86792">
        <w:t xml:space="preserve"> </w:t>
      </w:r>
      <w:r w:rsidR="002D1A10" w:rsidRPr="00A86792">
        <w:br/>
      </w:r>
      <w:r w:rsidRPr="00A86792">
        <w:t>ГОСТ Р МЭК 62133-2-2019 «</w:t>
      </w:r>
      <w:r w:rsidR="002D1A10" w:rsidRPr="00A86792">
        <w:t>Құрамында сілтілі немесе басқа қышқыл емес электролиттері бар аккумуляторлар мен аккумуляторлық батареялар. Портативті герметикалық аккумуляторлар мен олардан жасалған батареялардың портативті қолдану кезіндегі қауіпсіздік талаптары. 2 бөлім. Литий негізіндегі жүйелер</w:t>
      </w:r>
      <w:r w:rsidRPr="00A86792">
        <w:t xml:space="preserve">» </w:t>
      </w:r>
      <w:r w:rsidR="002D1A10" w:rsidRPr="00A86792">
        <w:t>литий негізіндегі жүйелер бөлігінде және</w:t>
      </w:r>
      <w:r w:rsidRPr="00A86792">
        <w:t xml:space="preserve"> ГОСТ Р МЭК 62133-1-2019 «</w:t>
      </w:r>
      <w:r w:rsidR="002D1A10" w:rsidRPr="00A86792">
        <w:t>Құрамында сілтілі немесе басқа қышқыл емес электролиттері бар аккумуляторлар мен аккумуляторлық батареялар. Портативті герметикалық аккумуляторлар мен олардан жасалған батареялардың портативті қолдану кезіндегі қауіпсіздік талаптары. 1 бөлім. Никель негізіндегі жүйелер</w:t>
      </w:r>
      <w:r w:rsidRPr="00A86792">
        <w:t xml:space="preserve">» </w:t>
      </w:r>
      <w:r w:rsidR="002D1A10" w:rsidRPr="00A86792">
        <w:t>никель негізіндегі жүйелер бөлігінде</w:t>
      </w:r>
      <w:r w:rsidR="002D1A10" w:rsidRPr="0047139A">
        <w:t xml:space="preserve"> </w:t>
      </w:r>
      <w:r w:rsidR="0047139A">
        <w:rPr>
          <w:lang w:val="kk-KZ"/>
        </w:rPr>
        <w:t xml:space="preserve">стандартарына </w:t>
      </w:r>
      <w:r w:rsidR="002D1A10" w:rsidRPr="0047139A">
        <w:t>ауыстырылды</w:t>
      </w:r>
      <w:r w:rsidRPr="00A86792">
        <w:t>;</w:t>
      </w:r>
    </w:p>
    <w:p w:rsidR="00730C6B" w:rsidRPr="0047139A" w:rsidRDefault="00730C6B" w:rsidP="00730C6B">
      <w:pPr>
        <w:ind w:firstLine="567"/>
        <w:jc w:val="both"/>
      </w:pPr>
      <w:r w:rsidRPr="00A86792">
        <w:t xml:space="preserve">7) ГОСТ Р 51920-2002 </w:t>
      </w:r>
      <w:r w:rsidR="00A86792" w:rsidRPr="00A86792">
        <w:t>Ресей Федерациясының аумағында</w:t>
      </w:r>
      <w:r w:rsidRPr="0047139A">
        <w:t xml:space="preserve"> ГОСТ 33678-2015 «</w:t>
      </w:r>
      <w:r w:rsidR="0047139A" w:rsidRPr="0047139A">
        <w:t>Ауыл шаруашылығы және орман шаруашылығы тракторлары. Сыртқы шу. Бағалау нормалары мен әдістері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t>жойылды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A86792">
        <w:t xml:space="preserve">8) ГОСТ Р 52746-2007 </w:t>
      </w:r>
      <w:r w:rsidR="0047139A" w:rsidRPr="00A86792">
        <w:t xml:space="preserve">Ресей Федерациясының </w:t>
      </w:r>
      <w:r w:rsidR="0047139A" w:rsidRPr="0047139A">
        <w:t xml:space="preserve">аумағында </w:t>
      </w:r>
      <w:r w:rsidRPr="0047139A">
        <w:t>ГОСТ 10000-2017 «</w:t>
      </w:r>
      <w:r w:rsidR="0047139A" w:rsidRPr="0047139A">
        <w:t>Трактор тіркемелері мен жартылай тіркемелері. Жалпы техникалық талаптар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t>жойылды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9) ГОСТ Р 50257-92 </w:t>
      </w:r>
      <w:r w:rsidR="0047139A" w:rsidRPr="0047139A">
        <w:t xml:space="preserve">Ресей Федерациясының аумағында </w:t>
      </w:r>
      <w:r w:rsidR="0047139A">
        <w:br/>
      </w:r>
      <w:r w:rsidRPr="0047139A">
        <w:t>ГОСТ 34109-2017 «</w:t>
      </w:r>
      <w:r w:rsidR="0047139A" w:rsidRPr="0047139A">
        <w:t>Шошқаларға арналған толық жем. Жалпы техникалық шарттар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t>жойылды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10) ГОСТ Р 51095-97 </w:t>
      </w:r>
      <w:r w:rsidR="0047139A" w:rsidRPr="0047139A">
        <w:t xml:space="preserve">Ресей Федерациясының аумағында </w:t>
      </w:r>
      <w:r w:rsidR="0047139A">
        <w:br/>
      </w:r>
      <w:r w:rsidRPr="0047139A">
        <w:t>ГОСТ 26573.0-2017 «</w:t>
      </w:r>
      <w:r w:rsidR="0047139A" w:rsidRPr="0047139A">
        <w:t>Премикстер. Техникалық шарттар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t>жойылды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11) СТБ 1150-2007 </w:t>
      </w:r>
      <w:r w:rsidR="0047139A" w:rsidRPr="0047139A">
        <w:t xml:space="preserve">Беларусь Республикасының аумағында </w:t>
      </w:r>
      <w:r w:rsidRPr="0047139A">
        <w:t>СТБ 1150-2013 «</w:t>
      </w:r>
      <w:r w:rsidR="0047139A" w:rsidRPr="0047139A">
        <w:t>Ақуыз-витамин-минералды қоспалар. Жалпы техникалық шарттар</w:t>
      </w:r>
      <w:r w:rsidRPr="0047139A">
        <w:t>»</w:t>
      </w:r>
      <w:r w:rsidR="0047139A" w:rsidRPr="0047139A">
        <w:rPr>
          <w:lang w:val="kk-KZ"/>
        </w:rPr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rPr>
          <w:lang w:val="kk-KZ"/>
        </w:rPr>
        <w:t>ауыстырылды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12) ГОСТ Р 53492-2009 </w:t>
      </w:r>
      <w:r w:rsidR="0047139A" w:rsidRPr="0047139A">
        <w:t xml:space="preserve">Ресей Федерациясының аумағында </w:t>
      </w:r>
      <w:r w:rsidRPr="0047139A">
        <w:t>ГОСТ 33958-2016 «</w:t>
      </w:r>
      <w:r w:rsidR="0047139A" w:rsidRPr="0047139A">
        <w:t>Іріткісі. Техникалық шарттар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t>жойылды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13) ГОСТ Р 52488-2005 </w:t>
      </w:r>
      <w:r w:rsidR="0047139A" w:rsidRPr="0047139A">
        <w:t xml:space="preserve">Ресей Федерациясының аумағында </w:t>
      </w:r>
      <w:r w:rsidRPr="0047139A">
        <w:t>ГОСТ 32479-2013 «</w:t>
      </w:r>
      <w:r w:rsidR="0047139A" w:rsidRPr="0047139A">
        <w:t>Кір жууға арналған құралдар. Жалпы техникалық шарттар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r w:rsidR="0047139A" w:rsidRPr="0047139A">
        <w:t>жойылды</w:t>
      </w:r>
      <w:r w:rsidRPr="0047139A">
        <w:t>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14) СТБ 1669-2006 </w:t>
      </w:r>
      <w:r w:rsidR="0047139A" w:rsidRPr="0047139A">
        <w:t>Беларусь Республикасының аумағында жойылды</w:t>
      </w:r>
      <w:r w:rsidR="0047139A" w:rsidRPr="0047139A">
        <w:t xml:space="preserve"> </w:t>
      </w:r>
      <w:r w:rsidRPr="0047139A">
        <w:t>(</w:t>
      </w:r>
      <w:r w:rsidR="0047139A" w:rsidRPr="0047139A">
        <w:t>қолданылу мерзімі 01.12.2020 ж. дейін</w:t>
      </w:r>
      <w:r w:rsidRPr="0047139A">
        <w:t>);</w:t>
      </w:r>
    </w:p>
    <w:p w:rsidR="00730C6B" w:rsidRPr="0047139A" w:rsidRDefault="00730C6B" w:rsidP="00730C6B">
      <w:pPr>
        <w:ind w:firstLine="567"/>
        <w:jc w:val="both"/>
      </w:pPr>
      <w:r w:rsidRPr="0047139A">
        <w:t xml:space="preserve">15) ГОСТ Р 52488-2005 </w:t>
      </w:r>
      <w:r w:rsidR="0047139A" w:rsidRPr="0047139A">
        <w:t xml:space="preserve">Ресей Федерациясының аумағында </w:t>
      </w:r>
      <w:r w:rsidRPr="0047139A">
        <w:t>ГОСТ 32479-2013 «</w:t>
      </w:r>
      <w:r w:rsidR="0047139A" w:rsidRPr="0047139A">
        <w:t>Кір жууға арналған құралдар. Жалпы техникалық шарттар</w:t>
      </w:r>
      <w:r w:rsidRPr="0047139A">
        <w:t>»</w:t>
      </w:r>
      <w:r w:rsidR="0047139A" w:rsidRPr="0047139A">
        <w:t xml:space="preserve"> </w:t>
      </w:r>
      <w:r w:rsidR="0047139A">
        <w:rPr>
          <w:lang w:val="kk-KZ"/>
        </w:rPr>
        <w:t xml:space="preserve">стандартына </w:t>
      </w:r>
      <w:bookmarkStart w:id="0" w:name="_GoBack"/>
      <w:bookmarkEnd w:id="0"/>
      <w:r w:rsidR="0047139A" w:rsidRPr="0047139A">
        <w:t>жойылды</w:t>
      </w:r>
      <w:r w:rsidRPr="0047139A">
        <w:t>.</w:t>
      </w:r>
    </w:p>
    <w:p w:rsidR="00730C6B" w:rsidRPr="0047139A" w:rsidRDefault="00730C6B" w:rsidP="00730C6B">
      <w:pPr>
        <w:jc w:val="center"/>
      </w:pPr>
    </w:p>
    <w:p w:rsidR="00FB5BBE" w:rsidRPr="00730C6B" w:rsidRDefault="00730C6B" w:rsidP="00730C6B">
      <w:pPr>
        <w:jc w:val="center"/>
        <w:rPr>
          <w:lang w:val="kk-KZ"/>
        </w:rPr>
      </w:pPr>
      <w:r w:rsidRPr="00730C6B">
        <w:t>_________________</w:t>
      </w:r>
    </w:p>
    <w:sectPr w:rsidR="00FB5BBE" w:rsidRPr="00730C6B" w:rsidSect="00B85743">
      <w:headerReference w:type="default" r:id="rId7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29.04.2021 11:23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29.04.2021 11:34 Кусаинов Серик Куанышевич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29.04.2021 16:52 Абенов Арман Даулетович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CF" w:rsidRDefault="008B7DCF">
      <w:r>
        <w:separator/>
      </w:r>
    </w:p>
  </w:endnote>
  <w:endnote w:type="continuationSeparator" w:id="0">
    <w:p w:rsidR="008B7DCF" w:rsidRDefault="008B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30.04.2021 09:33.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30.04.2021 09:33.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CF" w:rsidRDefault="008B7DCF">
      <w:r>
        <w:separator/>
      </w:r>
    </w:p>
  </w:footnote>
  <w:footnote w:type="continuationSeparator" w:id="0">
    <w:p w:rsidR="008B7DCF" w:rsidRDefault="008B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8" w:rsidRDefault="00CE7FA8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139A">
      <w:rPr>
        <w:noProof/>
      </w:rPr>
      <w:t>2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076B1"/>
    <w:rsid w:val="00007C15"/>
    <w:rsid w:val="00044CDA"/>
    <w:rsid w:val="000839CA"/>
    <w:rsid w:val="00083E2F"/>
    <w:rsid w:val="000A057A"/>
    <w:rsid w:val="000A77C3"/>
    <w:rsid w:val="000B5938"/>
    <w:rsid w:val="000C07AD"/>
    <w:rsid w:val="000C5CA9"/>
    <w:rsid w:val="000D5C22"/>
    <w:rsid w:val="000D5F68"/>
    <w:rsid w:val="001001C3"/>
    <w:rsid w:val="0011007C"/>
    <w:rsid w:val="001519E9"/>
    <w:rsid w:val="00164DDA"/>
    <w:rsid w:val="00167367"/>
    <w:rsid w:val="00177F6C"/>
    <w:rsid w:val="00180E2F"/>
    <w:rsid w:val="00192110"/>
    <w:rsid w:val="001A44A5"/>
    <w:rsid w:val="001B6986"/>
    <w:rsid w:val="001F0005"/>
    <w:rsid w:val="00200C79"/>
    <w:rsid w:val="002363F7"/>
    <w:rsid w:val="00237811"/>
    <w:rsid w:val="00256415"/>
    <w:rsid w:val="00260850"/>
    <w:rsid w:val="00281814"/>
    <w:rsid w:val="002825EB"/>
    <w:rsid w:val="002D1A10"/>
    <w:rsid w:val="002D6A74"/>
    <w:rsid w:val="002E6835"/>
    <w:rsid w:val="002E6DCD"/>
    <w:rsid w:val="002F5335"/>
    <w:rsid w:val="003139C9"/>
    <w:rsid w:val="00320D41"/>
    <w:rsid w:val="00331B2D"/>
    <w:rsid w:val="00333BA4"/>
    <w:rsid w:val="003377FA"/>
    <w:rsid w:val="00363D2C"/>
    <w:rsid w:val="003866A2"/>
    <w:rsid w:val="00386E2B"/>
    <w:rsid w:val="003967F2"/>
    <w:rsid w:val="003C2C78"/>
    <w:rsid w:val="003D3E52"/>
    <w:rsid w:val="003D44CD"/>
    <w:rsid w:val="00442AE7"/>
    <w:rsid w:val="00452F81"/>
    <w:rsid w:val="00462A7E"/>
    <w:rsid w:val="00466818"/>
    <w:rsid w:val="0047139A"/>
    <w:rsid w:val="004E68CD"/>
    <w:rsid w:val="005073A1"/>
    <w:rsid w:val="00512086"/>
    <w:rsid w:val="005221B6"/>
    <w:rsid w:val="00540C8A"/>
    <w:rsid w:val="00550F54"/>
    <w:rsid w:val="005607E9"/>
    <w:rsid w:val="005609D1"/>
    <w:rsid w:val="00571D19"/>
    <w:rsid w:val="005824B5"/>
    <w:rsid w:val="00593230"/>
    <w:rsid w:val="005B063A"/>
    <w:rsid w:val="005D2908"/>
    <w:rsid w:val="005F795D"/>
    <w:rsid w:val="00612CEA"/>
    <w:rsid w:val="006159EC"/>
    <w:rsid w:val="00623EC5"/>
    <w:rsid w:val="006464BC"/>
    <w:rsid w:val="00662F30"/>
    <w:rsid w:val="00684509"/>
    <w:rsid w:val="006C2EB4"/>
    <w:rsid w:val="006D4210"/>
    <w:rsid w:val="006E152B"/>
    <w:rsid w:val="006E4D7C"/>
    <w:rsid w:val="006E6C73"/>
    <w:rsid w:val="006E766B"/>
    <w:rsid w:val="006F1BBA"/>
    <w:rsid w:val="00707574"/>
    <w:rsid w:val="00730C6B"/>
    <w:rsid w:val="00764764"/>
    <w:rsid w:val="00794C5F"/>
    <w:rsid w:val="007A7ABC"/>
    <w:rsid w:val="007B798C"/>
    <w:rsid w:val="007C1021"/>
    <w:rsid w:val="007D37A4"/>
    <w:rsid w:val="00800AD9"/>
    <w:rsid w:val="008312D8"/>
    <w:rsid w:val="00832881"/>
    <w:rsid w:val="00854C9D"/>
    <w:rsid w:val="0086639B"/>
    <w:rsid w:val="00894CBF"/>
    <w:rsid w:val="008B7DCF"/>
    <w:rsid w:val="008C6851"/>
    <w:rsid w:val="008E6668"/>
    <w:rsid w:val="008F3FCC"/>
    <w:rsid w:val="009011C2"/>
    <w:rsid w:val="00910D1A"/>
    <w:rsid w:val="009112CD"/>
    <w:rsid w:val="00915DE4"/>
    <w:rsid w:val="00932D2B"/>
    <w:rsid w:val="0093671B"/>
    <w:rsid w:val="0094090F"/>
    <w:rsid w:val="00983D85"/>
    <w:rsid w:val="009843CC"/>
    <w:rsid w:val="009A3D51"/>
    <w:rsid w:val="009C29CB"/>
    <w:rsid w:val="009D7ECE"/>
    <w:rsid w:val="009E0F5E"/>
    <w:rsid w:val="00A366C3"/>
    <w:rsid w:val="00A42399"/>
    <w:rsid w:val="00A7349A"/>
    <w:rsid w:val="00A86792"/>
    <w:rsid w:val="00AB5F27"/>
    <w:rsid w:val="00AD6926"/>
    <w:rsid w:val="00AE3F37"/>
    <w:rsid w:val="00B82222"/>
    <w:rsid w:val="00B85743"/>
    <w:rsid w:val="00B87F5F"/>
    <w:rsid w:val="00BA302C"/>
    <w:rsid w:val="00BE58BE"/>
    <w:rsid w:val="00C016DE"/>
    <w:rsid w:val="00C35112"/>
    <w:rsid w:val="00C6628C"/>
    <w:rsid w:val="00C766C3"/>
    <w:rsid w:val="00CB0E03"/>
    <w:rsid w:val="00CE7FA8"/>
    <w:rsid w:val="00CF3824"/>
    <w:rsid w:val="00CF7820"/>
    <w:rsid w:val="00D1214D"/>
    <w:rsid w:val="00D23B86"/>
    <w:rsid w:val="00D54DC3"/>
    <w:rsid w:val="00D705B6"/>
    <w:rsid w:val="00DB3C2D"/>
    <w:rsid w:val="00DC3864"/>
    <w:rsid w:val="00DC7C51"/>
    <w:rsid w:val="00E038A5"/>
    <w:rsid w:val="00E15B3D"/>
    <w:rsid w:val="00E53DE7"/>
    <w:rsid w:val="00E55AF5"/>
    <w:rsid w:val="00E84D89"/>
    <w:rsid w:val="00E858F2"/>
    <w:rsid w:val="00EA6B33"/>
    <w:rsid w:val="00F11D1F"/>
    <w:rsid w:val="00F459F7"/>
    <w:rsid w:val="00F66C11"/>
    <w:rsid w:val="00F85965"/>
    <w:rsid w:val="00F94BD0"/>
    <w:rsid w:val="00F96BB3"/>
    <w:rsid w:val="00FB5BBE"/>
    <w:rsid w:val="00FE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7AFE"/>
  <w15:docId w15:val="{BE8CA778-1AE9-4ED4-B8FD-AB0100A4256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character" w:customStyle="1" w:styleId="CharStyle5">
    <w:name w:val="Char Style 5"/>
    <w:basedOn w:val="a0"/>
    <w:link w:val="Style4"/>
    <w:rsid w:val="00237811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23781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List Paragraph"/>
    <w:basedOn w:val="a"/>
    <w:uiPriority w:val="34"/>
    <w:qFormat/>
    <w:rsid w:val="00044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Салтанат Уразова</cp:lastModifiedBy>
  <cp:revision>121</cp:revision>
  <dcterms:created xsi:type="dcterms:W3CDTF">2018-01-05T11:13:00Z</dcterms:created>
  <dcterms:modified xsi:type="dcterms:W3CDTF">2021-04-21T12:28:00Z</dcterms:modified>
</cp:coreProperties>
</file>